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16CAF697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proofErr w:type="gramStart"/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proofErr w:type="gramEnd"/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25272C" w:rsidRPr="0025272C">
        <w:rPr>
          <w:rFonts w:ascii="Verdana" w:eastAsia="Verdana" w:hAnsi="Verdana" w:cs="Verdana"/>
          <w:sz w:val="20"/>
          <w:szCs w:val="20"/>
          <w:lang w:eastAsia="it-IT"/>
        </w:rPr>
        <w:t>con richiesta di preventivo finalizzata all’individuazione di operatori economici interessati alla fornitura di un fitotrone</w:t>
      </w:r>
      <w:r w:rsidR="00F15ABB" w:rsidRPr="00F15ABB">
        <w:t xml:space="preserve"> </w:t>
      </w:r>
      <w:r w:rsidR="00F15ABB" w:rsidRPr="00F15ABB">
        <w:rPr>
          <w:rFonts w:ascii="Verdana" w:eastAsia="Verdana" w:hAnsi="Verdana" w:cs="Verdana"/>
          <w:sz w:val="20"/>
          <w:szCs w:val="20"/>
          <w:lang w:eastAsia="it-IT"/>
        </w:rPr>
        <w:t>destinato alla crescita di piante</w:t>
      </w:r>
      <w:r w:rsidR="00F15ABB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7A4E3CC2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CON RICHIESTA DI PREVENTIVO FINALIZZATA ALL’INDIVIDUAZIONE DI OPERATORI ECONOMICI INTERESSATI ALLA FORNITURA DI UN FITOTRONE</w:t>
      </w:r>
      <w:r w:rsidR="00F15ABB" w:rsidRPr="00F15ABB">
        <w:t xml:space="preserve"> </w:t>
      </w:r>
      <w:r w:rsidR="00F15ABB" w:rsidRPr="00F15ABB">
        <w:rPr>
          <w:rFonts w:ascii="Verdana,Italic" w:hAnsi="Verdana,Italic" w:cs="Verdana,Italic"/>
          <w:i/>
          <w:iCs/>
          <w:sz w:val="20"/>
          <w:szCs w:val="20"/>
        </w:rPr>
        <w:t>DESTINATO ALLA CRESCITA DI PIANTE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5A6C5F5B" w14:textId="3C89CFEA" w:rsidR="00463416" w:rsidRPr="004A2E72" w:rsidRDefault="00B75F9E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 xml:space="preserve">) di Consip S.P.A. nella seguente </w:t>
      </w:r>
      <w:r>
        <w:rPr>
          <w:rFonts w:ascii="Verdana" w:hAnsi="Verdana" w:cs="Arial"/>
          <w:color w:val="000000"/>
          <w:sz w:val="20"/>
          <w:szCs w:val="20"/>
        </w:rPr>
        <w:t>iniziativa: “BENI/Cancelleria, Carta, Consumabili da stampa e Prodotti per il restauro”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3F14DE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80BC662B6C1641B5F722E620292A03" ma:contentTypeVersion="8" ma:contentTypeDescription="Creare un nuovo documento." ma:contentTypeScope="" ma:versionID="0827830440e514eb8f5fa0aba1f2c702">
  <xsd:schema xmlns:xsd="http://www.w3.org/2001/XMLSchema" xmlns:xs="http://www.w3.org/2001/XMLSchema" xmlns:p="http://schemas.microsoft.com/office/2006/metadata/properties" xmlns:ns3="5be2eaf3-6471-4667-b101-18e4c244c534" targetNamespace="http://schemas.microsoft.com/office/2006/metadata/properties" ma:root="true" ma:fieldsID="46020bf597843cb59c9dfe8215b378cf" ns3:_="">
    <xsd:import namespace="5be2eaf3-6471-4667-b101-18e4c244c5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2eaf3-6471-4667-b101-18e4c244c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be2eaf3-6471-4667-b101-18e4c244c53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9341AC-C39C-49A8-A139-8DA93A2A8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2eaf3-6471-4667-b101-18e4c244c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1166</Words>
  <Characters>6651</Characters>
  <Application>Microsoft Office Word</Application>
  <DocSecurity>4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2019-10-02T11:11:00Z</dcterms:created>
  <dcterms:modified xsi:type="dcterms:W3CDTF">2019-10-02T11:11:00Z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0x0101000C80BC662B6C1641B5F722E620292A03</vt:lpwstr>
  </property>
</Properties>
</file>