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71940" w14:textId="7F3859A5" w:rsidR="00AD1B2D" w:rsidRPr="00AD1B2D" w:rsidRDefault="00AD1B2D" w:rsidP="00AD1B2D">
      <w:pPr>
        <w:jc w:val="center"/>
        <w:rPr>
          <w:b/>
          <w:bCs/>
          <w:color w:val="000000" w:themeColor="text1"/>
          <w:sz w:val="28"/>
          <w:szCs w:val="32"/>
          <w:lang w:val="en-US"/>
        </w:rPr>
      </w:pPr>
      <w:r w:rsidRPr="00AD1B2D">
        <w:rPr>
          <w:b/>
          <w:bCs/>
          <w:color w:val="000000" w:themeColor="text1"/>
          <w:sz w:val="28"/>
          <w:szCs w:val="32"/>
          <w:lang w:val="en-US"/>
        </w:rPr>
        <w:t>PRESS RELEASE</w:t>
      </w:r>
    </w:p>
    <w:p w14:paraId="169CC10C" w14:textId="5EEC99FA" w:rsidR="00AD1B2D" w:rsidRPr="00AD1B2D" w:rsidRDefault="00AD1B2D" w:rsidP="00AD1B2D">
      <w:pPr>
        <w:jc w:val="center"/>
        <w:rPr>
          <w:i/>
          <w:iCs/>
          <w:color w:val="000000" w:themeColor="text1"/>
          <w:lang w:val="en-US"/>
        </w:rPr>
      </w:pPr>
      <w:r w:rsidRPr="00AD1B2D">
        <w:rPr>
          <w:i/>
          <w:iCs/>
          <w:color w:val="000000" w:themeColor="text1"/>
          <w:lang w:val="en-US"/>
        </w:rPr>
        <w:t>19 May 2025</w:t>
      </w:r>
    </w:p>
    <w:p w14:paraId="4359ED64" w14:textId="5CB307FA" w:rsidR="0038708D" w:rsidRPr="00D22E87" w:rsidRDefault="0038708D" w:rsidP="0038708D"/>
    <w:p w14:paraId="0B3FD26F" w14:textId="479E5CDD" w:rsidR="0038708D" w:rsidRPr="0038708D" w:rsidRDefault="0038708D" w:rsidP="00D22E87"/>
    <w:p w14:paraId="6E82BA59" w14:textId="5B4E08F3" w:rsidR="00D22E87" w:rsidRPr="0069559C" w:rsidRDefault="00D22E87" w:rsidP="00D22E87">
      <w:pPr>
        <w:rPr>
          <w:rFonts w:cs="Arial"/>
        </w:rPr>
      </w:pPr>
      <w:r w:rsidRPr="0069559C">
        <w:rPr>
          <w:rFonts w:cs="Arial"/>
        </w:rPr>
        <w:t>Il 15 e 16 maggio 2025, si è tenuto presso l'Università degli Studi di Scienze Gastronomiche (UNISG) a Pollenzo (To), il Kick-Off Meeting di “ALL-Facts – Agroecology Living Labs for Accelerating Transition”, un progetto di ricerca europeo finanziato nell'ambito del Partenariato Europeo per l'Agroecologia e coordinato dall'UNISG. Il CREA (Consiglio per la ricerca in agricoltura e l'analisi dell'economia agraria), la FIRAB (Fondazione Italiana per la Ricerca in Agricoltura Biologica e Biodinamica) e l’Università di Bolzano sono gli altri partner italiani che concorreranno alle attività di ricerca e di animazione dei Living Lab di progetto in Basilicata, Piemonte e Alto Adige</w:t>
      </w:r>
      <w:r w:rsidR="00513D38">
        <w:rPr>
          <w:rFonts w:cs="Arial"/>
        </w:rPr>
        <w:t xml:space="preserve"> (link: </w:t>
      </w:r>
      <w:hyperlink r:id="rId7" w:history="1">
        <w:r w:rsidR="00513D38" w:rsidRPr="00513D38">
          <w:rPr>
            <w:rStyle w:val="Collegamentoipertestuale"/>
            <w:rFonts w:cs="Arial"/>
          </w:rPr>
          <w:t>ALL-</w:t>
        </w:r>
        <w:proofErr w:type="spellStart"/>
        <w:r w:rsidR="00513D38" w:rsidRPr="00513D38">
          <w:rPr>
            <w:rStyle w:val="Collegamentoipertestuale"/>
            <w:rFonts w:cs="Arial"/>
          </w:rPr>
          <w:t>Facts</w:t>
        </w:r>
        <w:proofErr w:type="spellEnd"/>
        <w:r w:rsidR="00513D38" w:rsidRPr="00513D38">
          <w:rPr>
            <w:rStyle w:val="Collegamentoipertestuale"/>
            <w:rFonts w:cs="Arial"/>
          </w:rPr>
          <w:t xml:space="preserve"> — </w:t>
        </w:r>
        <w:proofErr w:type="spellStart"/>
        <w:r w:rsidR="00513D38" w:rsidRPr="00513D38">
          <w:rPr>
            <w:rStyle w:val="Collegamentoipertestuale"/>
            <w:rFonts w:cs="Arial"/>
          </w:rPr>
          <w:t>Agroecology</w:t>
        </w:r>
        <w:proofErr w:type="spellEnd"/>
        <w:r w:rsidR="00513D38" w:rsidRPr="00513D38">
          <w:rPr>
            <w:rStyle w:val="Collegamentoipertestuale"/>
            <w:rFonts w:cs="Arial"/>
          </w:rPr>
          <w:t xml:space="preserve"> Partnership</w:t>
        </w:r>
      </w:hyperlink>
      <w:r w:rsidR="00513D38">
        <w:rPr>
          <w:rFonts w:cs="Arial"/>
        </w:rPr>
        <w:t>).</w:t>
      </w:r>
    </w:p>
    <w:p w14:paraId="2833CEC3" w14:textId="77777777" w:rsidR="00D22E87" w:rsidRPr="0069559C" w:rsidRDefault="00D22E87" w:rsidP="00D22E87">
      <w:pPr>
        <w:rPr>
          <w:rFonts w:cs="Arial"/>
        </w:rPr>
      </w:pPr>
    </w:p>
    <w:p w14:paraId="668FCE01" w14:textId="77777777" w:rsidR="00D22E87" w:rsidRPr="0069559C" w:rsidRDefault="00D22E87" w:rsidP="00D22E87">
      <w:pPr>
        <w:rPr>
          <w:rFonts w:cs="Arial"/>
        </w:rPr>
      </w:pPr>
      <w:r w:rsidRPr="0069559C">
        <w:rPr>
          <w:rFonts w:cs="Arial"/>
        </w:rPr>
        <w:t>Nel complesso, ALL-Facts coinvolge 16 organizzazioni in sette paesi dell'UE (Italia, Spagna, Portogallo, Francia, Olanda, Germania e Romania), promuovendo la transizione agroecologica attraverso 11 Living Lab agroecologici coinvolti nella transizione verso sistemi agroalimentari sostenibili in diversi contesti territoriali, ambientali e sociali. I Living Lab sono definiti come “ecosistemi operativi” che coinvolgono gli agricoltori e gli altri attori dei sistemi agroalimentari nello sviluppo congiunto di soluzioni innovative legate a specifici contesti.</w:t>
      </w:r>
    </w:p>
    <w:p w14:paraId="35DEDAEC" w14:textId="77777777" w:rsidR="00D22E87" w:rsidRPr="0069559C" w:rsidRDefault="00D22E87" w:rsidP="00D22E87">
      <w:pPr>
        <w:rPr>
          <w:rFonts w:cs="Arial"/>
        </w:rPr>
      </w:pPr>
    </w:p>
    <w:p w14:paraId="4181726A" w14:textId="77777777" w:rsidR="00D22E87" w:rsidRPr="0069559C" w:rsidRDefault="00D22E87" w:rsidP="00D22E87">
      <w:pPr>
        <w:rPr>
          <w:rFonts w:cs="Arial"/>
        </w:rPr>
      </w:pPr>
      <w:r w:rsidRPr="0069559C">
        <w:rPr>
          <w:rFonts w:cs="Arial"/>
        </w:rPr>
        <w:t>Questo primo incontro a Pollenzo ha gettato le basi per uno sforzo collaborativo volto a collegare ricerca scientifica, pratiche agricole e sviluppo di politiche. Ha inoltre evidenziato il ruolo fondamentale dell'innovazione territoriale e del coinvolgimento degli stakeholder nella costruzione di sistemi agroalimentari resilienti. Con l'avanzare del progetto, ALL-Facts mira a dimostrare che l'agroecologia va oltre l’approccio scientifico, rappresentando anche un percorso di pratiche più sostenibili, rilevante per le politiche, così da affrontare al meglio le sfide interconnesse della sicurezza alimentare, della perdita di biodiversità, del cambiamento climatico e dello sviluppo rurale.</w:t>
      </w:r>
    </w:p>
    <w:p w14:paraId="1E0F2ED1" w14:textId="77777777" w:rsidR="00D22E87" w:rsidRPr="0069559C" w:rsidRDefault="00D22E87" w:rsidP="00D22E87">
      <w:pPr>
        <w:rPr>
          <w:rFonts w:cs="Arial"/>
        </w:rPr>
      </w:pPr>
    </w:p>
    <w:p w14:paraId="4783C764" w14:textId="77777777" w:rsidR="00D22E87" w:rsidRPr="0069559C" w:rsidRDefault="00D22E87" w:rsidP="00D22E87">
      <w:pPr>
        <w:rPr>
          <w:rFonts w:cs="Arial"/>
        </w:rPr>
      </w:pPr>
      <w:r w:rsidRPr="0069559C">
        <w:rPr>
          <w:rFonts w:cs="Arial"/>
        </w:rPr>
        <w:t>In particolare, CREA e FIRAB opereranno tramite il coinvolgimento di attori del sistema agroalimentare e delle istituzioni locali in Basilicata, dove hanno già da alcuni anni avviato un percorso di Living Lab che esplora il potenziale della diversificazione dei sistemi colturali. Con ALL-Facts, CREA, FIRAB e i partecipanti al Living Lab lucano approfondiranno in particolare i termini di sviluppo di sistemi agroforestali che combinano colture arboree, arbustive, erbacee e allevamento nelle aziende agricole, con incontri con gli agricoltori pianificati a partire dal prossimo 26 e 27 maggio.</w:t>
      </w:r>
    </w:p>
    <w:p w14:paraId="25851B66" w14:textId="77777777" w:rsidR="00D22E87" w:rsidRPr="0069559C" w:rsidRDefault="00D22E87" w:rsidP="00D22E87">
      <w:pPr>
        <w:rPr>
          <w:rFonts w:cs="Arial"/>
        </w:rPr>
      </w:pPr>
      <w:r w:rsidRPr="0069559C">
        <w:rPr>
          <w:rFonts w:cs="Arial"/>
        </w:rPr>
        <w:t>Gli approcci agroforestali verranno inoltre integrati dal rafforzamento di una rete sementiera e di trasformazione di frumento duro originato dal cosiddetto Materiale Eterogeneo Biologico (MEB), composto da un’ampia gamma di tipologie genetiche coltivate negli stessi appezzamenti e in evoluzione continua al fine di adattarsi a diversi suoli, climi e pratiche agricole.</w:t>
      </w:r>
    </w:p>
    <w:p w14:paraId="7E78EA3F" w14:textId="77777777" w:rsidR="00D22E87" w:rsidRPr="0069559C" w:rsidRDefault="00D22E87" w:rsidP="00D22E87">
      <w:pPr>
        <w:rPr>
          <w:rFonts w:cs="Arial"/>
        </w:rPr>
      </w:pPr>
    </w:p>
    <w:p w14:paraId="7FBF7D0D" w14:textId="77777777" w:rsidR="00D22E87" w:rsidRPr="0069559C" w:rsidRDefault="00D22E87" w:rsidP="00D22E87">
      <w:pPr>
        <w:rPr>
          <w:rFonts w:cs="Arial"/>
        </w:rPr>
      </w:pPr>
      <w:r w:rsidRPr="0069559C">
        <w:rPr>
          <w:rFonts w:cs="Arial"/>
        </w:rPr>
        <w:t>L’attività ferve: il 30 maggio nuovo appuntamento nel Living Lab lucano per valutare l’andamento dei campi di MEB di frumento duro in vista dell’imminente raccolta e per ampliare la rete sementiera, nell’ottica di sviluppare la trasformazione e commercializzazione dei prodotti che ne derivano (es. pane, biscotti, pasta).</w:t>
      </w:r>
    </w:p>
    <w:p w14:paraId="702D59D3" w14:textId="77777777" w:rsidR="00D22E87" w:rsidRPr="0069559C" w:rsidRDefault="00D22E87" w:rsidP="00D22E87">
      <w:pPr>
        <w:rPr>
          <w:rFonts w:cs="Arial"/>
        </w:rPr>
      </w:pPr>
    </w:p>
    <w:p w14:paraId="16DBE878" w14:textId="77777777" w:rsidR="00D22E87" w:rsidRPr="0069559C" w:rsidRDefault="00D22E87" w:rsidP="00D22E87">
      <w:pPr>
        <w:rPr>
          <w:rFonts w:cs="Arial"/>
          <w:b/>
          <w:bCs/>
        </w:rPr>
      </w:pPr>
      <w:r w:rsidRPr="0069559C">
        <w:rPr>
          <w:rFonts w:cs="Arial"/>
          <w:b/>
          <w:bCs/>
        </w:rPr>
        <w:t>Per contatti:</w:t>
      </w:r>
    </w:p>
    <w:p w14:paraId="0D71FDF7" w14:textId="77777777" w:rsidR="00D22E87" w:rsidRPr="0069559C" w:rsidRDefault="00D22E87" w:rsidP="00D22E87">
      <w:pPr>
        <w:rPr>
          <w:rFonts w:cs="Arial"/>
        </w:rPr>
      </w:pPr>
    </w:p>
    <w:p w14:paraId="6928B350" w14:textId="77777777" w:rsidR="00D22E87" w:rsidRPr="0069559C" w:rsidRDefault="00D22E87" w:rsidP="00D22E87">
      <w:pPr>
        <w:rPr>
          <w:rFonts w:cs="Arial"/>
        </w:rPr>
      </w:pPr>
      <w:r w:rsidRPr="0069559C">
        <w:rPr>
          <w:rFonts w:cs="Arial"/>
        </w:rPr>
        <w:t>Mariangela Diacono – CREA: mariangela.diacono@crea.gov.it</w:t>
      </w:r>
    </w:p>
    <w:p w14:paraId="5973E1F2" w14:textId="77777777" w:rsidR="00D22E87" w:rsidRPr="0069559C" w:rsidRDefault="00D22E87" w:rsidP="00D22E87">
      <w:pPr>
        <w:rPr>
          <w:rFonts w:cs="Arial"/>
        </w:rPr>
      </w:pPr>
      <w:r w:rsidRPr="0069559C">
        <w:rPr>
          <w:rFonts w:cs="Arial"/>
        </w:rPr>
        <w:t xml:space="preserve">Luca Colombo – FIRAB: l.colombo@firab.it ; 348 3988618; </w:t>
      </w:r>
      <w:hyperlink r:id="rId8" w:history="1">
        <w:r w:rsidRPr="0069559C">
          <w:rPr>
            <w:rStyle w:val="Collegamentoipertestuale"/>
            <w:rFonts w:cs="Arial"/>
          </w:rPr>
          <w:t>https://www.firab.it</w:t>
        </w:r>
      </w:hyperlink>
    </w:p>
    <w:p w14:paraId="6EEB0069" w14:textId="4B2BD8DD" w:rsidR="0038708D" w:rsidRPr="0038708D" w:rsidRDefault="0038708D" w:rsidP="0038708D"/>
    <w:p w14:paraId="4DECD464" w14:textId="028CCD65" w:rsidR="0038708D" w:rsidRPr="0038708D" w:rsidRDefault="0038708D" w:rsidP="0038708D"/>
    <w:p w14:paraId="4B3380BB" w14:textId="73F27B49" w:rsidR="0038708D" w:rsidRPr="0038708D" w:rsidRDefault="0038708D" w:rsidP="0038708D"/>
    <w:p w14:paraId="1A85E6AF" w14:textId="6B23C4CB" w:rsidR="0038708D" w:rsidRPr="001D42EF" w:rsidRDefault="0038708D" w:rsidP="0038708D">
      <w:pPr>
        <w:rPr>
          <w:lang w:val="en-US"/>
        </w:rPr>
      </w:pPr>
    </w:p>
    <w:p w14:paraId="078710F1" w14:textId="5009B126" w:rsidR="0038708D" w:rsidRDefault="0038708D" w:rsidP="0038708D">
      <w:pPr>
        <w:jc w:val="center"/>
      </w:pPr>
    </w:p>
    <w:p w14:paraId="5BFC59D9" w14:textId="66507BAE" w:rsidR="00E7220D" w:rsidRDefault="00E7220D" w:rsidP="0038708D">
      <w:pPr>
        <w:jc w:val="center"/>
      </w:pPr>
    </w:p>
    <w:p w14:paraId="49E27C64" w14:textId="5FC5F32B" w:rsidR="00E7220D" w:rsidRPr="0038708D" w:rsidRDefault="00E7220D" w:rsidP="0038708D">
      <w:pPr>
        <w:jc w:val="center"/>
      </w:pPr>
    </w:p>
    <w:sectPr w:rsidR="00E7220D" w:rsidRPr="0038708D" w:rsidSect="00412A3B">
      <w:footerReference w:type="default" r:id="rId9"/>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338ED" w14:textId="77777777" w:rsidR="00EF470C" w:rsidRDefault="00EF470C" w:rsidP="00412A3B">
      <w:r>
        <w:separator/>
      </w:r>
    </w:p>
  </w:endnote>
  <w:endnote w:type="continuationSeparator" w:id="0">
    <w:p w14:paraId="0A8EC2C4" w14:textId="77777777" w:rsidR="00EF470C" w:rsidRDefault="00EF470C" w:rsidP="00412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920C" w14:textId="1405D7DB" w:rsidR="00412A3B" w:rsidRDefault="0038708D">
    <w:pPr>
      <w:pStyle w:val="Pidipagina"/>
    </w:pPr>
    <w:r>
      <w:rPr>
        <w:noProof/>
      </w:rPr>
      <mc:AlternateContent>
        <mc:Choice Requires="wps">
          <w:drawing>
            <wp:anchor distT="0" distB="0" distL="114300" distR="114300" simplePos="0" relativeHeight="251660288" behindDoc="0" locked="0" layoutInCell="1" allowOverlap="1" wp14:anchorId="3F36994B" wp14:editId="6C5D1227">
              <wp:simplePos x="0" y="0"/>
              <wp:positionH relativeFrom="column">
                <wp:posOffset>885743</wp:posOffset>
              </wp:positionH>
              <wp:positionV relativeFrom="paragraph">
                <wp:posOffset>119351</wp:posOffset>
              </wp:positionV>
              <wp:extent cx="5069001" cy="460573"/>
              <wp:effectExtent l="0" t="0" r="0" b="0"/>
              <wp:wrapNone/>
              <wp:docPr id="573110399" name="Text Box 3"/>
              <wp:cNvGraphicFramePr/>
              <a:graphic xmlns:a="http://schemas.openxmlformats.org/drawingml/2006/main">
                <a:graphicData uri="http://schemas.microsoft.com/office/word/2010/wordprocessingShape">
                  <wps:wsp>
                    <wps:cNvSpPr txBox="1"/>
                    <wps:spPr>
                      <a:xfrm>
                        <a:off x="0" y="0"/>
                        <a:ext cx="5069001" cy="460573"/>
                      </a:xfrm>
                      <a:prstGeom prst="rect">
                        <a:avLst/>
                      </a:prstGeom>
                      <a:solidFill>
                        <a:schemeClr val="lt1"/>
                      </a:solidFill>
                      <a:ln w="6350">
                        <a:noFill/>
                      </a:ln>
                    </wps:spPr>
                    <wps:txbx>
                      <w:txbxContent>
                        <w:p w14:paraId="3F64DDD6" w14:textId="6826E790" w:rsidR="0038708D" w:rsidRPr="0038708D" w:rsidRDefault="0038708D" w:rsidP="0038708D">
                          <w:pPr>
                            <w:pStyle w:val="NormaleWeb"/>
                            <w:spacing w:before="0" w:beforeAutospacing="0" w:after="0" w:afterAutospacing="0"/>
                            <w:ind w:right="34"/>
                            <w:rPr>
                              <w:sz w:val="18"/>
                              <w:szCs w:val="18"/>
                            </w:rPr>
                          </w:pPr>
                          <w:r w:rsidRPr="0038708D">
                            <w:rPr>
                              <w:rFonts w:ascii="Arial" w:hAnsi="Arial" w:cs="Arial"/>
                              <w:i/>
                              <w:iCs/>
                              <w:color w:val="000000"/>
                              <w:sz w:val="13"/>
                              <w:szCs w:val="13"/>
                            </w:rPr>
                            <w:t>Co-funded by the European Union. Views and opinions expressed are however those of the author(s) only and do not necessarily reflect those of the European Union or European Research Executive Agency (REA) or AGROECOLOGY partnership. Neither the European Union nor the granting authority can be held responsible for 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36994B" id="_x0000_t202" coordsize="21600,21600" o:spt="202" path="m,l,21600r21600,l21600,xe">
              <v:stroke joinstyle="miter"/>
              <v:path gradientshapeok="t" o:connecttype="rect"/>
            </v:shapetype>
            <v:shape id="Text Box 3" o:spid="_x0000_s1026" type="#_x0000_t202" style="position:absolute;left:0;text-align:left;margin-left:69.75pt;margin-top:9.4pt;width:399.15pt;height:36.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" fillcolor="white [3201]" stroked="f" strokeweight=".5pt">
              <v:textbox>
                <w:txbxContent>
                  <w:p w14:paraId="3F64DDD6" w14:textId="6826E790" w:rsidR="0038708D" w:rsidRPr="0038708D" w:rsidRDefault="0038708D" w:rsidP="0038708D">
                    <w:pPr>
                      <w:pStyle w:val="NormaleWeb"/>
                      <w:spacing w:before="0" w:beforeAutospacing="0" w:after="0" w:afterAutospacing="0"/>
                      <w:ind w:right="34"/>
                      <w:rPr>
                        <w:sz w:val="18"/>
                        <w:szCs w:val="18"/>
                      </w:rPr>
                    </w:pPr>
                    <w:r w:rsidRPr="0038708D">
                      <w:rPr>
                        <w:rFonts w:ascii="Arial" w:hAnsi="Arial" w:cs="Arial"/>
                        <w:i/>
                        <w:iCs/>
                        <w:color w:val="000000"/>
                        <w:sz w:val="13"/>
                        <w:szCs w:val="13"/>
                      </w:rPr>
                      <w:t>Co-funded by the European Union. Views and opinions expressed are however those of the author(s) only and do not necessarily reflect those of the European Union or European Research Executive Agency (REA) or AGROECOLOGY partnership. Neither the European Union nor the granting authority can be held responsible for them.</w:t>
                    </w:r>
                  </w:p>
                </w:txbxContent>
              </v:textbox>
            </v:shape>
          </w:pict>
        </mc:Fallback>
      </mc:AlternateContent>
    </w:r>
    <w:r w:rsidRPr="00412A3B">
      <w:rPr>
        <w:noProof/>
      </w:rPr>
      <w:drawing>
        <wp:anchor distT="0" distB="0" distL="114300" distR="114300" simplePos="0" relativeHeight="251658240" behindDoc="0" locked="0" layoutInCell="1" allowOverlap="1" wp14:anchorId="61E2CACE" wp14:editId="240C2E69">
          <wp:simplePos x="0" y="0"/>
          <wp:positionH relativeFrom="column">
            <wp:posOffset>6010118</wp:posOffset>
          </wp:positionH>
          <wp:positionV relativeFrom="paragraph">
            <wp:posOffset>52239</wp:posOffset>
          </wp:positionV>
          <wp:extent cx="942668" cy="528250"/>
          <wp:effectExtent l="0" t="0" r="0" b="0"/>
          <wp:wrapNone/>
          <wp:docPr id="4" name="Imagem 6"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6" descr="A logo of a company&#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3925" cy="54576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B7D445E" wp14:editId="6C7667B0">
          <wp:simplePos x="0" y="0"/>
          <wp:positionH relativeFrom="column">
            <wp:posOffset>-355827</wp:posOffset>
          </wp:positionH>
          <wp:positionV relativeFrom="paragraph">
            <wp:posOffset>152907</wp:posOffset>
          </wp:positionV>
          <wp:extent cx="1240057" cy="276837"/>
          <wp:effectExtent l="0" t="0" r="0" b="3175"/>
          <wp:wrapNone/>
          <wp:docPr id="493256552" name="Picture 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256552" name="Picture 2" descr="Blue text on a black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579" cy="286999"/>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"https://lh7-rt.googleusercontent.com/slidesz/AGV_vUeXOUbx_OJLiGqemPgfgwuckcGyRCtUncCV10kwVpVXj9G6JRJyWEPcO-BYTm0uslNz_hDNPkhxp9X0h0kCuAxcQniMPYj8GesOzaf-GsEHC091eTt5GFYyhh_Lmlqwy3URIcn5y_AbevOboWdMxls=s2048?key=qWdiZqereSTOPNjg4ksegCyW" \* MERGEFORMATINET </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38681" w14:textId="77777777" w:rsidR="00EF470C" w:rsidRDefault="00EF470C" w:rsidP="00412A3B">
      <w:r>
        <w:separator/>
      </w:r>
    </w:p>
  </w:footnote>
  <w:footnote w:type="continuationSeparator" w:id="0">
    <w:p w14:paraId="29D5440E" w14:textId="77777777" w:rsidR="00EF470C" w:rsidRDefault="00EF470C" w:rsidP="00412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A4026"/>
    <w:multiLevelType w:val="multilevel"/>
    <w:tmpl w:val="59188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090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EE5"/>
    <w:rsid w:val="001D42EF"/>
    <w:rsid w:val="00333F85"/>
    <w:rsid w:val="0038708D"/>
    <w:rsid w:val="003D734B"/>
    <w:rsid w:val="00412A3B"/>
    <w:rsid w:val="00431EE5"/>
    <w:rsid w:val="00513D38"/>
    <w:rsid w:val="005E7F4C"/>
    <w:rsid w:val="00634082"/>
    <w:rsid w:val="00927143"/>
    <w:rsid w:val="00972148"/>
    <w:rsid w:val="00AD1B2D"/>
    <w:rsid w:val="00BC1363"/>
    <w:rsid w:val="00C325EA"/>
    <w:rsid w:val="00D22E87"/>
    <w:rsid w:val="00E7220D"/>
    <w:rsid w:val="00EF470C"/>
    <w:rsid w:val="00FB47A0"/>
    <w:rsid w:val="00FE1A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923D5"/>
  <w15:chartTrackingRefBased/>
  <w15:docId w15:val="{291CB593-15FC-DD45-9670-A1D570CDF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1B2D"/>
    <w:pPr>
      <w:jc w:val="both"/>
    </w:pPr>
    <w:rPr>
      <w:rFonts w:ascii="Arial" w:hAnsi="Arial"/>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12A3B"/>
    <w:pPr>
      <w:tabs>
        <w:tab w:val="center" w:pos="4513"/>
        <w:tab w:val="right" w:pos="9026"/>
      </w:tabs>
    </w:pPr>
  </w:style>
  <w:style w:type="character" w:customStyle="1" w:styleId="IntestazioneCarattere">
    <w:name w:val="Intestazione Carattere"/>
    <w:basedOn w:val="Carpredefinitoparagrafo"/>
    <w:link w:val="Intestazione"/>
    <w:uiPriority w:val="99"/>
    <w:rsid w:val="00412A3B"/>
  </w:style>
  <w:style w:type="paragraph" w:styleId="Pidipagina">
    <w:name w:val="footer"/>
    <w:basedOn w:val="Normale"/>
    <w:link w:val="PidipaginaCarattere"/>
    <w:uiPriority w:val="99"/>
    <w:unhideWhenUsed/>
    <w:rsid w:val="00412A3B"/>
    <w:pPr>
      <w:tabs>
        <w:tab w:val="center" w:pos="4513"/>
        <w:tab w:val="right" w:pos="9026"/>
      </w:tabs>
    </w:pPr>
  </w:style>
  <w:style w:type="character" w:customStyle="1" w:styleId="PidipaginaCarattere">
    <w:name w:val="Piè di pagina Carattere"/>
    <w:basedOn w:val="Carpredefinitoparagrafo"/>
    <w:link w:val="Pidipagina"/>
    <w:uiPriority w:val="99"/>
    <w:rsid w:val="00412A3B"/>
  </w:style>
  <w:style w:type="paragraph" w:styleId="NormaleWeb">
    <w:name w:val="Normal (Web)"/>
    <w:basedOn w:val="Normale"/>
    <w:uiPriority w:val="99"/>
    <w:unhideWhenUsed/>
    <w:rsid w:val="0038708D"/>
    <w:pPr>
      <w:spacing w:before="100" w:beforeAutospacing="1" w:after="100" w:afterAutospacing="1"/>
    </w:pPr>
    <w:rPr>
      <w:rFonts w:ascii="Times New Roman" w:eastAsia="Times New Roman" w:hAnsi="Times New Roman" w:cs="Times New Roman"/>
      <w:kern w:val="0"/>
      <w:lang w:eastAsia="en-GB"/>
      <w14:ligatures w14:val="none"/>
    </w:rPr>
  </w:style>
  <w:style w:type="table" w:styleId="Grigliatabella">
    <w:name w:val="Table Grid"/>
    <w:basedOn w:val="Tabellanormale"/>
    <w:uiPriority w:val="39"/>
    <w:rsid w:val="00FB47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D22E87"/>
    <w:rPr>
      <w:color w:val="0563C1" w:themeColor="hyperlink"/>
      <w:u w:val="single"/>
    </w:rPr>
  </w:style>
  <w:style w:type="character" w:styleId="Menzionenonrisolta">
    <w:name w:val="Unresolved Mention"/>
    <w:basedOn w:val="Carpredefinitoparagrafo"/>
    <w:uiPriority w:val="99"/>
    <w:semiHidden/>
    <w:unhideWhenUsed/>
    <w:rsid w:val="00513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0206">
      <w:bodyDiv w:val="1"/>
      <w:marLeft w:val="0"/>
      <w:marRight w:val="0"/>
      <w:marTop w:val="0"/>
      <w:marBottom w:val="0"/>
      <w:divBdr>
        <w:top w:val="none" w:sz="0" w:space="0" w:color="auto"/>
        <w:left w:val="none" w:sz="0" w:space="0" w:color="auto"/>
        <w:bottom w:val="none" w:sz="0" w:space="0" w:color="auto"/>
        <w:right w:val="none" w:sz="0" w:space="0" w:color="auto"/>
      </w:divBdr>
    </w:div>
    <w:div w:id="193664636">
      <w:bodyDiv w:val="1"/>
      <w:marLeft w:val="0"/>
      <w:marRight w:val="0"/>
      <w:marTop w:val="0"/>
      <w:marBottom w:val="0"/>
      <w:divBdr>
        <w:top w:val="none" w:sz="0" w:space="0" w:color="auto"/>
        <w:left w:val="none" w:sz="0" w:space="0" w:color="auto"/>
        <w:bottom w:val="none" w:sz="0" w:space="0" w:color="auto"/>
        <w:right w:val="none" w:sz="0" w:space="0" w:color="auto"/>
      </w:divBdr>
    </w:div>
    <w:div w:id="737556441">
      <w:bodyDiv w:val="1"/>
      <w:marLeft w:val="0"/>
      <w:marRight w:val="0"/>
      <w:marTop w:val="0"/>
      <w:marBottom w:val="0"/>
      <w:divBdr>
        <w:top w:val="none" w:sz="0" w:space="0" w:color="auto"/>
        <w:left w:val="none" w:sz="0" w:space="0" w:color="auto"/>
        <w:bottom w:val="none" w:sz="0" w:space="0" w:color="auto"/>
        <w:right w:val="none" w:sz="0" w:space="0" w:color="auto"/>
      </w:divBdr>
    </w:div>
    <w:div w:id="1361275551">
      <w:bodyDiv w:val="1"/>
      <w:marLeft w:val="0"/>
      <w:marRight w:val="0"/>
      <w:marTop w:val="0"/>
      <w:marBottom w:val="0"/>
      <w:divBdr>
        <w:top w:val="none" w:sz="0" w:space="0" w:color="auto"/>
        <w:left w:val="none" w:sz="0" w:space="0" w:color="auto"/>
        <w:bottom w:val="none" w:sz="0" w:space="0" w:color="auto"/>
        <w:right w:val="none" w:sz="0" w:space="0" w:color="auto"/>
      </w:divBdr>
    </w:div>
    <w:div w:id="212700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rab.it" TargetMode="External"/><Relationship Id="rId3" Type="http://schemas.openxmlformats.org/officeDocument/2006/relationships/settings" Target="settings.xml"/><Relationship Id="rId7" Type="http://schemas.openxmlformats.org/officeDocument/2006/relationships/hyperlink" Target="https://www.agroecologypartnership.eu/allfac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Tataridas</dc:creator>
  <cp:keywords/>
  <dc:description/>
  <cp:lastModifiedBy>Paolo Virgilii (CREA-US )</cp:lastModifiedBy>
  <cp:revision>2</cp:revision>
  <dcterms:created xsi:type="dcterms:W3CDTF">2025-05-21T11:51:00Z</dcterms:created>
  <dcterms:modified xsi:type="dcterms:W3CDTF">2025-05-21T11:51:00Z</dcterms:modified>
</cp:coreProperties>
</file>